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трехфазный генератор резервного электроснабжения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142875</wp:posOffset>
            </wp:positionH>
            <wp:positionV relativeFrom="paragraph">
              <wp:posOffset>66675</wp:posOffset>
            </wp:positionV>
            <wp:extent cx="1343025" cy="5334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 в контейнере.</w:t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10-380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(10,5 кВт)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</w:t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</w:t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647700</wp:posOffset>
            </wp:positionH>
            <wp:positionV relativeFrom="paragraph">
              <wp:posOffset>-112395</wp:posOffset>
            </wp:positionV>
            <wp:extent cx="1905000" cy="1600200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56" t="3257" r="567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    </w:t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color w:val="FF0000"/>
          <w:sz w:val="18"/>
          <w:szCs w:val="18"/>
          <w:lang w:val="en-US" w:eastAsia="ru-RU"/>
        </w:rPr>
        <w:t>SUBARU EH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ru-RU"/>
        </w:rPr>
        <w:t>6</w:t>
      </w:r>
      <w:r>
        <w:rPr>
          <w:rFonts w:eastAsia="Times New Roman" w:cs="Arial" w:ascii="Arial" w:hAnsi="Arial"/>
          <w:b/>
          <w:color w:val="FF0000"/>
          <w:sz w:val="18"/>
          <w:szCs w:val="18"/>
          <w:lang w:val="en-US" w:eastAsia="ru-RU"/>
        </w:rPr>
        <w:t>5D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 xml:space="preserve"> (MeccAlte – 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Италия);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-40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электростанцияс низким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SG10-</w:t>
            </w:r>
            <w:r>
              <w:rPr>
                <w:b/>
              </w:rPr>
              <w:t>38</w:t>
            </w:r>
            <w:r>
              <w:rPr>
                <w:b/>
                <w:lang w:val="en-US"/>
              </w:rPr>
              <w:t>0S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,5/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 xml:space="preserve">EH65D (SUBARU) 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 xml:space="preserve">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</w:rPr>
              <w:t xml:space="preserve">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2014-11-19T06:11:00Z</cp:lastPrinted>
  <dcterms:modified xsi:type="dcterms:W3CDTF">2015-11-23T08:53:00Z</dcterms:modified>
  <cp:revision>69</cp:revision>
</cp:coreProperties>
</file>